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6CAA65B6">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8640C8B">
                <wp:simplePos x="0" y="0"/>
                <wp:positionH relativeFrom="column">
                  <wp:posOffset>492125</wp:posOffset>
                </wp:positionH>
                <wp:positionV relativeFrom="page">
                  <wp:posOffset>3143250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75pt;margin-top:247.5pt;width:751.3pt;height:2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&#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Pr="00417CEA">
              <w:rPr>
                <w:rStyle w:val="Hyperlink"/>
                <w:rFonts w:ascii="Arial" w:eastAsia="Arial" w:hAnsi="Arial" w:cs="Arial"/>
                <w:b/>
                <w:noProof/>
                <w:spacing w:val="-5"/>
                <w:lang w:val="en-GB" w:eastAsia="en-GB"/>
              </w:rPr>
              <w:t>2.0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LEGISLATION AND STATUTORY GUIDANCE</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3</w:t>
            </w:r>
            <w:r>
              <w:rPr>
                <w:noProof/>
                <w:webHidden/>
              </w:rPr>
              <w:fldChar w:fldCharType="end"/>
            </w:r>
          </w:hyperlink>
        </w:p>
        <w:p w14:paraId="75C4BBB9" w14:textId="0C939BF0"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Pr="00417CEA">
              <w:rPr>
                <w:rStyle w:val="Hyperlink"/>
                <w:rFonts w:ascii="Arial" w:eastAsia="Arial" w:hAnsi="Arial" w:cs="Arial"/>
                <w:b/>
                <w:noProof/>
                <w:spacing w:val="-5"/>
                <w:lang w:val="en-GB" w:eastAsia="en-GB"/>
              </w:rPr>
              <w:t>3.0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DEFINITIONS</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w:t>
            </w:r>
            <w:r>
              <w:rPr>
                <w:noProof/>
                <w:webHidden/>
              </w:rPr>
              <w:fldChar w:fldCharType="end"/>
            </w:r>
          </w:hyperlink>
        </w:p>
        <w:p w14:paraId="1762AEB5" w14:textId="3DE2D0A7"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Pr="00417CEA">
              <w:rPr>
                <w:rStyle w:val="Hyperlink"/>
                <w:rFonts w:ascii="Arial" w:eastAsia="Arial" w:hAnsi="Arial" w:cs="Arial"/>
                <w:b/>
                <w:noProof/>
                <w:spacing w:val="-5"/>
                <w:lang w:val="en-GB" w:eastAsia="en-GB"/>
              </w:rPr>
              <w:t>4.0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ROLES AND RESPONSIBILITIES</w:t>
            </w:r>
            <w:r>
              <w:rPr>
                <w:noProof/>
                <w:webHidden/>
              </w:rPr>
              <w:tab/>
            </w:r>
            <w:r>
              <w:rPr>
                <w:noProof/>
                <w:webHidden/>
              </w:rPr>
              <w:fldChar w:fldCharType="begin"/>
            </w:r>
            <w:r>
              <w:rPr>
                <w:noProof/>
                <w:webHidden/>
              </w:rPr>
              <w:instrText xml:space="preserve"> PAGEREF _Toc189240825 \h </w:instrText>
            </w:r>
            <w:r>
              <w:rPr>
                <w:noProof/>
                <w:webHidden/>
              </w:rPr>
            </w:r>
            <w:r>
              <w:rPr>
                <w:noProof/>
                <w:webHidden/>
              </w:rPr>
              <w:fldChar w:fldCharType="separate"/>
            </w:r>
            <w:r>
              <w:rPr>
                <w:noProof/>
                <w:webHidden/>
              </w:rPr>
              <w:t>4</w:t>
            </w:r>
            <w:r>
              <w:rPr>
                <w:noProof/>
                <w:webHidden/>
              </w:rPr>
              <w:fldChar w:fldCharType="end"/>
            </w:r>
          </w:hyperlink>
        </w:p>
        <w:p w14:paraId="3FD50B07" w14:textId="7BF3A063"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Pr="00417CEA">
              <w:rPr>
                <w:rStyle w:val="Hyperlink"/>
                <w:rFonts w:ascii="Arial" w:eastAsia="Arial" w:hAnsi="Arial" w:cs="Arial"/>
                <w:b/>
                <w:noProof/>
                <w:spacing w:val="-5"/>
                <w:lang w:val="en-GB" w:eastAsia="en-GB"/>
              </w:rPr>
              <w:t>5.0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CONSIDERING THE REINSTATEMENT OF A PUPIL</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8</w:t>
            </w:r>
            <w:r>
              <w:rPr>
                <w:noProof/>
                <w:webHidden/>
              </w:rPr>
              <w:fldChar w:fldCharType="end"/>
            </w:r>
          </w:hyperlink>
        </w:p>
        <w:p w14:paraId="6B14EB00" w14:textId="79E7B7C4"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Pr="00417CEA">
              <w:rPr>
                <w:rStyle w:val="Hyperlink"/>
                <w:rFonts w:ascii="Arial" w:eastAsia="Arial" w:hAnsi="Arial" w:cs="Arial"/>
                <w:b/>
                <w:noProof/>
                <w:spacing w:val="-5"/>
                <w:lang w:val="en-GB" w:eastAsia="en-GB"/>
              </w:rPr>
              <w:t>6.0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INDEPENDENT REVIEW</w:t>
            </w:r>
            <w:r>
              <w:rPr>
                <w:noProof/>
                <w:webHidden/>
              </w:rPr>
              <w:tab/>
            </w:r>
            <w:r>
              <w:rPr>
                <w:noProof/>
                <w:webHidden/>
              </w:rPr>
              <w:fldChar w:fldCharType="begin"/>
            </w:r>
            <w:r>
              <w:rPr>
                <w:noProof/>
                <w:webHidden/>
              </w:rPr>
              <w:instrText xml:space="preserve"> PAGEREF _Toc189240827 \h </w:instrText>
            </w:r>
            <w:r>
              <w:rPr>
                <w:noProof/>
                <w:webHidden/>
              </w:rPr>
            </w:r>
            <w:r>
              <w:rPr>
                <w:noProof/>
                <w:webHidden/>
              </w:rPr>
              <w:fldChar w:fldCharType="separate"/>
            </w:r>
            <w:r>
              <w:rPr>
                <w:noProof/>
                <w:webHidden/>
              </w:rPr>
              <w:t>10</w:t>
            </w:r>
            <w:r>
              <w:rPr>
                <w:noProof/>
                <w:webHidden/>
              </w:rPr>
              <w:fldChar w:fldCharType="end"/>
            </w:r>
          </w:hyperlink>
        </w:p>
        <w:p w14:paraId="1C884894" w14:textId="78F7D80B"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Pr="00417CEA">
              <w:rPr>
                <w:rStyle w:val="Hyperlink"/>
                <w:rFonts w:ascii="Arial" w:eastAsia="Arial" w:hAnsi="Arial" w:cs="Arial"/>
                <w:b/>
                <w:noProof/>
                <w:spacing w:val="-5"/>
                <w:lang w:val="en-GB" w:eastAsia="en-GB"/>
              </w:rPr>
              <w:t>7.0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SCHOOL REGISTERS</w:t>
            </w:r>
            <w:r>
              <w:rPr>
                <w:noProof/>
                <w:webHidden/>
              </w:rPr>
              <w:tab/>
            </w:r>
            <w:r>
              <w:rPr>
                <w:noProof/>
                <w:webHidden/>
              </w:rPr>
              <w:fldChar w:fldCharType="begin"/>
            </w:r>
            <w:r>
              <w:rPr>
                <w:noProof/>
                <w:webHidden/>
              </w:rPr>
              <w:instrText xml:space="preserve"> PAGEREF _Toc189240828 \h </w:instrText>
            </w:r>
            <w:r>
              <w:rPr>
                <w:noProof/>
                <w:webHidden/>
              </w:rPr>
            </w:r>
            <w:r>
              <w:rPr>
                <w:noProof/>
                <w:webHidden/>
              </w:rPr>
              <w:fldChar w:fldCharType="separate"/>
            </w:r>
            <w:r>
              <w:rPr>
                <w:noProof/>
                <w:webHidden/>
              </w:rPr>
              <w:t>11</w:t>
            </w:r>
            <w:r>
              <w:rPr>
                <w:noProof/>
                <w:webHidden/>
              </w:rPr>
              <w:fldChar w:fldCharType="end"/>
            </w:r>
          </w:hyperlink>
        </w:p>
        <w:p w14:paraId="335506B2" w14:textId="76120B06"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Pr="00417CEA">
              <w:rPr>
                <w:rStyle w:val="Hyperlink"/>
                <w:rFonts w:ascii="Arial" w:eastAsia="Arial" w:hAnsi="Arial" w:cs="Arial"/>
                <w:b/>
                <w:noProof/>
                <w:spacing w:val="-5"/>
                <w:lang w:val="en-GB" w:eastAsia="en-GB"/>
              </w:rPr>
              <w:t>8.0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RETURNING FROM A SUSPENSION</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12</w:t>
            </w:r>
            <w:r>
              <w:rPr>
                <w:noProof/>
                <w:webHidden/>
              </w:rPr>
              <w:fldChar w:fldCharType="end"/>
            </w:r>
          </w:hyperlink>
        </w:p>
        <w:p w14:paraId="5FEEA597" w14:textId="0A8BA1E8"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Pr="00417CEA">
              <w:rPr>
                <w:rStyle w:val="Hyperlink"/>
                <w:rFonts w:ascii="Arial" w:eastAsia="Arial" w:hAnsi="Arial" w:cs="Arial"/>
                <w:b/>
                <w:noProof/>
                <w:spacing w:val="-5"/>
                <w:lang w:val="en-GB" w:eastAsia="en-GB"/>
              </w:rPr>
              <w:t>9.0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MONITORING ARANGEMENTS</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13</w:t>
            </w:r>
            <w:r>
              <w:rPr>
                <w:noProof/>
                <w:webHidden/>
              </w:rPr>
              <w:fldChar w:fldCharType="end"/>
            </w:r>
          </w:hyperlink>
        </w:p>
        <w:p w14:paraId="61538445" w14:textId="27DB6C41"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Pr="00417CEA">
              <w:rPr>
                <w:rStyle w:val="Hyperlink"/>
                <w:rFonts w:ascii="Arial" w:eastAsia="Arial" w:hAnsi="Arial" w:cs="Arial"/>
                <w:b/>
                <w:noProof/>
                <w:lang w:val="en-GB" w:eastAsia="en-GB"/>
              </w:rPr>
              <w:t>APPENDIX 1: INDEPENDENT REVIEW PANEL TRAINING</w:t>
            </w:r>
            <w:r>
              <w:rPr>
                <w:noProof/>
                <w:webHidden/>
              </w:rPr>
              <w:tab/>
            </w:r>
            <w:r>
              <w:rPr>
                <w:noProof/>
                <w:webHidden/>
              </w:rPr>
              <w:fldChar w:fldCharType="begin"/>
            </w:r>
            <w:r>
              <w:rPr>
                <w:noProof/>
                <w:webHidden/>
              </w:rPr>
              <w:instrText xml:space="preserve"> PAGEREF _Toc189240831 \h </w:instrText>
            </w:r>
            <w:r>
              <w:rPr>
                <w:noProof/>
                <w:webHidden/>
              </w:rPr>
            </w:r>
            <w:r>
              <w:rPr>
                <w:noProof/>
                <w:webHidden/>
              </w:rPr>
              <w:fldChar w:fldCharType="separate"/>
            </w:r>
            <w:r>
              <w:rPr>
                <w:noProof/>
                <w:webHidden/>
              </w:rPr>
              <w:t>14</w:t>
            </w:r>
            <w:r>
              <w:rPr>
                <w:noProof/>
                <w:webHidden/>
              </w:rPr>
              <w:fldChar w:fldCharType="end"/>
            </w:r>
          </w:hyperlink>
        </w:p>
        <w:p w14:paraId="5C0632EA" w14:textId="10B0B780"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Pr="00417CEA">
              <w:rPr>
                <w:rStyle w:val="Hyperlink"/>
                <w:rFonts w:ascii="Arial" w:hAnsi="Arial" w:cs="Arial"/>
                <w:b/>
                <w:bCs/>
                <w:noProof/>
              </w:rPr>
              <w:t>APPENDIX 2: EXCLUSION PROCEDURE FLOWCHART</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15</w:t>
            </w:r>
            <w:r>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 xml:space="preserve">Please note that the terms “our teams” </w:t>
      </w:r>
      <w:proofErr w:type="gramStart"/>
      <w:r w:rsidRPr="003214DD">
        <w:rPr>
          <w:rFonts w:ascii="Arial" w:hAnsi="Arial" w:cs="Arial"/>
        </w:rPr>
        <w:t>and ”team</w:t>
      </w:r>
      <w:proofErr w:type="gramEnd"/>
      <w:r w:rsidRPr="003214DD">
        <w:rPr>
          <w:rFonts w:ascii="Arial" w:hAnsi="Arial" w:cs="Arial"/>
        </w:rPr>
        <w:t xml:space="preserve"> member/s” include everyone working with the people in Outcomes First Group’s services in </w:t>
      </w:r>
      <w:proofErr w:type="gramStart"/>
      <w:r w:rsidRPr="003214DD">
        <w:rPr>
          <w:rFonts w:ascii="Arial" w:hAnsi="Arial" w:cs="Arial"/>
        </w:rPr>
        <w:t>a  paid</w:t>
      </w:r>
      <w:proofErr w:type="gramEnd"/>
      <w:r w:rsidRPr="003214DD">
        <w:rPr>
          <w:rFonts w:ascii="Arial" w:hAnsi="Arial" w:cs="Arial"/>
        </w:rPr>
        <w:t xml:space="preserve">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0" w:name="_Toc121304215"/>
      <w:bookmarkStart w:id="1" w:name="_Toc189240822"/>
      <w:r w:rsidRPr="003214DD">
        <w:rPr>
          <w:rFonts w:ascii="Arial" w:eastAsia="Arial" w:hAnsi="Arial" w:cs="Arial"/>
          <w:b/>
          <w:color w:val="000000"/>
          <w:lang w:val="en-GB" w:eastAsia="en-GB"/>
        </w:rPr>
        <w:t>AIMS</w:t>
      </w:r>
      <w:bookmarkEnd w:id="0"/>
      <w:bookmarkEnd w:id="1"/>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proofErr w:type="spellStart"/>
      <w:r w:rsidRPr="003214DD">
        <w:rPr>
          <w:rFonts w:ascii="Arial" w:hAnsi="Arial" w:cs="Arial"/>
        </w:rPr>
        <w:t>Behaviour</w:t>
      </w:r>
      <w:proofErr w:type="spellEnd"/>
      <w:r w:rsidRPr="003214DD">
        <w:rPr>
          <w:rFonts w:ascii="Arial" w:hAnsi="Arial" w:cs="Arial"/>
        </w:rPr>
        <w:t xml:space="preserve"> Policy (Person-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4"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w:t>
      </w:r>
      <w:proofErr w:type="spellStart"/>
      <w:r w:rsidRPr="003214DD">
        <w:rPr>
          <w:rFonts w:ascii="Arial" w:hAnsi="Arial" w:cs="Arial"/>
        </w:rPr>
        <w:t>Behaviour</w:t>
      </w:r>
      <w:proofErr w:type="spellEnd"/>
      <w:r w:rsidRPr="003214DD">
        <w:rPr>
          <w:rFonts w:ascii="Arial" w:hAnsi="Arial" w:cs="Arial"/>
        </w:rPr>
        <w:t xml:space="preserve">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2"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2"/>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3" w:name="_Toc121304216"/>
      <w:bookmarkStart w:id="4"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3"/>
      <w:bookmarkEnd w:id="4"/>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5"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lang w:val="en-GB"/>
        </w:rPr>
      </w:pPr>
      <w:hyperlink r:id="rId16" w:history="1">
        <w:r w:rsidRPr="003214DD">
          <w:rPr>
            <w:rFonts w:ascii="Arial" w:hAnsi="Arial" w:cs="Arial"/>
            <w:color w:val="4F81BD" w:themeColor="accent1"/>
            <w:u w:val="single"/>
            <w:lang w:val="en-GB"/>
          </w:rPr>
          <w:t>Section 51a of the Education Act 2002</w:t>
        </w:r>
      </w:hyperlink>
      <w:r w:rsidRPr="003214DD">
        <w:rPr>
          <w:rFonts w:ascii="Arial" w:hAnsi="Arial" w:cs="Arial"/>
          <w:lang w:val="en-GB"/>
        </w:rPr>
        <w:t xml:space="preserve">, as amended by the </w:t>
      </w:r>
      <w:hyperlink r:id="rId17" w:history="1">
        <w:r w:rsidRPr="003214DD">
          <w:rPr>
            <w:rFonts w:ascii="Arial" w:hAnsi="Arial" w:cs="Arial"/>
            <w:color w:val="4F81BD" w:themeColor="accent1"/>
            <w:u w:val="single"/>
          </w:rPr>
          <w:t>Education Act 2011</w:t>
        </w:r>
      </w:hyperlink>
    </w:p>
    <w:p w14:paraId="286CB712"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8" w:history="1">
        <w:r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Part 7, chapter 2 of the </w:t>
      </w:r>
      <w:hyperlink r:id="rId19"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xml:space="preserve">, which sets out parental responsibility for </w:t>
      </w:r>
      <w:r w:rsidRPr="003214DD">
        <w:rPr>
          <w:rFonts w:ascii="Arial" w:hAnsi="Arial" w:cs="Arial"/>
          <w:lang w:val="en-GB"/>
        </w:rPr>
        <w:lastRenderedPageBreak/>
        <w:t>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0"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1"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2"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3" w:history="1">
        <w:r w:rsidRPr="003214DD">
          <w:rPr>
            <w:rFonts w:ascii="Arial" w:hAnsi="Arial" w:cs="Arial"/>
            <w:color w:val="0072CC"/>
            <w:u w:val="single" w:color="0072CC"/>
            <w:lang w:val="en-GB"/>
          </w:rPr>
          <w:t>The Equality Act 2010</w:t>
        </w:r>
      </w:hyperlink>
    </w:p>
    <w:p w14:paraId="3E262620"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4" w:history="1">
        <w:r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5" w:name="_Toc121304217"/>
      <w:bookmarkStart w:id="6"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5"/>
      <w:bookmarkEnd w:id="6"/>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7" w:name="_Toc121304218"/>
      <w:bookmarkStart w:id="8"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7"/>
      <w:bookmarkEnd w:id="8"/>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whether the pupil is especially vulnerable (e.g. the pupil has a social worker, or is a looked-after </w:t>
      </w:r>
      <w:r w:rsidRPr="003214DD">
        <w:rPr>
          <w:rFonts w:ascii="Arial" w:hAnsi="Arial" w:cs="Arial"/>
          <w:lang w:val="en-GB"/>
        </w:rPr>
        <w:lastRenderedPageBreak/>
        <w:t xml:space="preserve">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9"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9"/>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0"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0"/>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1" w:name="_Toc111556557"/>
      <w:r w:rsidRPr="00C96582">
        <w:rPr>
          <w:rFonts w:ascii="Arial" w:hAnsi="Arial" w:cs="Arial"/>
          <w:lang w:val="en-GB"/>
        </w:rPr>
        <w:t xml:space="preserve">The headteacher will not reach their decision until they have made every effort to meaningfully hear from the pupil and will inform the pupil of how their views were </w:t>
      </w:r>
      <w:proofErr w:type="gramStart"/>
      <w:r w:rsidRPr="00C96582">
        <w:rPr>
          <w:rFonts w:ascii="Arial" w:hAnsi="Arial" w:cs="Arial"/>
          <w:lang w:val="en-GB"/>
        </w:rPr>
        <w:t>taken into account</w:t>
      </w:r>
      <w:proofErr w:type="gramEnd"/>
      <w:r w:rsidRPr="00C96582">
        <w:rPr>
          <w:rFonts w:ascii="Arial" w:hAnsi="Arial" w:cs="Arial"/>
          <w:lang w:val="en-GB"/>
        </w:rPr>
        <w:t xml:space="preserve"> when making the decision in a way that is meaningful to them.</w:t>
      </w:r>
      <w:bookmarkEnd w:id="11"/>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lastRenderedPageBreak/>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 xml:space="preserve">This is </w:t>
      </w:r>
      <w:proofErr w:type="gramStart"/>
      <w:r w:rsidRPr="00C96582">
        <w:rPr>
          <w:rFonts w:ascii="Arial" w:hAnsi="Arial" w:cs="Arial"/>
          <w:lang w:val="en-GB"/>
        </w:rPr>
        <w:t>in order to</w:t>
      </w:r>
      <w:proofErr w:type="gramEnd"/>
      <w:r w:rsidRPr="00C96582">
        <w:rPr>
          <w:rFonts w:ascii="Arial" w:hAnsi="Arial" w:cs="Arial"/>
          <w:lang w:val="en-GB"/>
        </w:rPr>
        <w:t xml:space="preserve">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lastRenderedPageBreak/>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Where relevant, any social worker and VSH will </w:t>
      </w:r>
      <w:proofErr w:type="gramStart"/>
      <w:r w:rsidRPr="00C96582">
        <w:rPr>
          <w:rFonts w:ascii="Arial" w:hAnsi="Arial" w:cs="Arial"/>
          <w:lang w:val="en-GB"/>
        </w:rPr>
        <w:t>notified</w:t>
      </w:r>
      <w:proofErr w:type="gramEnd"/>
      <w:r w:rsidRPr="00C96582">
        <w:rPr>
          <w:rFonts w:ascii="Arial" w:hAnsi="Arial" w:cs="Arial"/>
          <w:lang w:val="en-GB"/>
        </w:rPr>
        <w:t xml:space="preserve">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lastRenderedPageBreak/>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2" w:name="_Toc121304219"/>
      <w:bookmarkStart w:id="13"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2"/>
      <w:bookmarkEnd w:id="13"/>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t>
      </w:r>
      <w:proofErr w:type="gramStart"/>
      <w:r w:rsidRPr="003214DD">
        <w:rPr>
          <w:rFonts w:ascii="Arial" w:hAnsi="Arial" w:cs="Arial"/>
          <w:lang w:val="en-GB"/>
        </w:rPr>
        <w:t>whether or not</w:t>
      </w:r>
      <w:proofErr w:type="gramEnd"/>
      <w:r w:rsidRPr="003214DD">
        <w:rPr>
          <w:rFonts w:ascii="Arial" w:hAnsi="Arial" w:cs="Arial"/>
          <w:lang w:val="en-GB"/>
        </w:rPr>
        <w:t xml:space="preserve">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 if they are aged 17 or younger and it would be appropriate to their age and understanding (and, 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lastRenderedPageBreak/>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4" w:name="_Toc121304220"/>
      <w:bookmarkStart w:id="15"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4"/>
      <w:bookmarkEnd w:id="15"/>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lastRenderedPageBreak/>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6" w:name="_Toc121304221"/>
      <w:bookmarkStart w:id="17"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6"/>
      <w:bookmarkEnd w:id="17"/>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8" w:name="_Toc121304222"/>
      <w:bookmarkStart w:id="19"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8"/>
      <w:bookmarkEnd w:id="19"/>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0" w:name="_Toc121304223"/>
      <w:bookmarkStart w:id="21"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0"/>
      <w:bookmarkEnd w:id="21"/>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lastRenderedPageBreak/>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2" w:name="_Toc121304224"/>
      <w:bookmarkStart w:id="23" w:name="_Toc189240831"/>
      <w:r w:rsidRPr="001234F8">
        <w:rPr>
          <w:rFonts w:ascii="Arial" w:eastAsia="Arial" w:hAnsi="Arial" w:cs="Arial"/>
          <w:b/>
          <w:color w:val="000000"/>
          <w:lang w:val="en-GB" w:eastAsia="en-GB"/>
        </w:rPr>
        <w:lastRenderedPageBreak/>
        <w:t>APPENDIX 1: INDEPENDENT REVIEW PANEL TRAINING</w:t>
      </w:r>
      <w:bookmarkEnd w:id="22"/>
      <w:bookmarkEnd w:id="23"/>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4" w:name="_Toc189240832"/>
      <w:r w:rsidRPr="00816D0F">
        <w:rPr>
          <w:rFonts w:ascii="Arial" w:hAnsi="Arial" w:cs="Arial"/>
          <w:b/>
          <w:bCs/>
          <w:color w:val="auto"/>
          <w:sz w:val="22"/>
        </w:rPr>
        <w:t>APPENDIX 2: EXCLUSION PROCEDURE FLOWCHART</w:t>
      </w:r>
      <w:bookmarkEnd w:id="24"/>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2C524EEB">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224C" w14:textId="77777777" w:rsidR="005F313C" w:rsidRDefault="005F313C" w:rsidP="00510FCA">
      <w:r>
        <w:separator/>
      </w:r>
    </w:p>
  </w:endnote>
  <w:endnote w:type="continuationSeparator" w:id="0">
    <w:p w14:paraId="55288918" w14:textId="77777777" w:rsidR="005F313C" w:rsidRDefault="005F313C"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E7850"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13D5" w14:textId="77777777" w:rsidR="005F313C" w:rsidRDefault="005F313C" w:rsidP="00510FCA">
      <w:r>
        <w:separator/>
      </w:r>
    </w:p>
  </w:footnote>
  <w:footnote w:type="continuationSeparator" w:id="0">
    <w:p w14:paraId="432E1353" w14:textId="77777777" w:rsidR="005F313C" w:rsidRDefault="005F313C"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69CDA22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29"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90E98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7954586" o:spid="_x0000_i1025" type="#_x0000_t75" style="width:6.6pt;height:10.8pt;visibility:visible;mso-wrap-style:square">
            <v:imagedata r:id="rId1" o:title=""/>
          </v:shape>
        </w:pict>
      </mc:Choice>
      <mc:Fallback>
        <w:drawing>
          <wp:inline distT="0" distB="0" distL="0" distR="0" wp14:anchorId="74A090A0">
            <wp:extent cx="83820" cy="137160"/>
            <wp:effectExtent l="0" t="0" r="0" b="0"/>
            <wp:docPr id="1427954586" name="Picture 142795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 cy="13716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319">
    <w:abstractNumId w:val="36"/>
  </w:num>
  <w:num w:numId="2" w16cid:durableId="514268648">
    <w:abstractNumId w:val="34"/>
  </w:num>
  <w:num w:numId="3" w16cid:durableId="1932204675">
    <w:abstractNumId w:val="35"/>
  </w:num>
  <w:num w:numId="4" w16cid:durableId="403144402">
    <w:abstractNumId w:val="0"/>
  </w:num>
  <w:num w:numId="5" w16cid:durableId="236014917">
    <w:abstractNumId w:val="1"/>
  </w:num>
  <w:num w:numId="6" w16cid:durableId="1530683493">
    <w:abstractNumId w:val="2"/>
  </w:num>
  <w:num w:numId="7" w16cid:durableId="1067335444">
    <w:abstractNumId w:val="3"/>
  </w:num>
  <w:num w:numId="8" w16cid:durableId="533077889">
    <w:abstractNumId w:val="4"/>
  </w:num>
  <w:num w:numId="9" w16cid:durableId="1325818371">
    <w:abstractNumId w:val="6"/>
  </w:num>
  <w:num w:numId="10" w16cid:durableId="1778716924">
    <w:abstractNumId w:val="5"/>
  </w:num>
  <w:num w:numId="11" w16cid:durableId="1697198219">
    <w:abstractNumId w:val="7"/>
  </w:num>
  <w:num w:numId="12" w16cid:durableId="2008434228">
    <w:abstractNumId w:val="8"/>
  </w:num>
  <w:num w:numId="13" w16cid:durableId="1948610567">
    <w:abstractNumId w:val="9"/>
  </w:num>
  <w:num w:numId="14" w16cid:durableId="331638938">
    <w:abstractNumId w:val="10"/>
  </w:num>
  <w:num w:numId="15" w16cid:durableId="846797413">
    <w:abstractNumId w:val="11"/>
  </w:num>
  <w:num w:numId="16" w16cid:durableId="1393773824">
    <w:abstractNumId w:val="12"/>
  </w:num>
  <w:num w:numId="17" w16cid:durableId="802769207">
    <w:abstractNumId w:val="13"/>
  </w:num>
  <w:num w:numId="18" w16cid:durableId="194588624">
    <w:abstractNumId w:val="14"/>
  </w:num>
  <w:num w:numId="19" w16cid:durableId="1950506876">
    <w:abstractNumId w:val="15"/>
  </w:num>
  <w:num w:numId="20" w16cid:durableId="1664048922">
    <w:abstractNumId w:val="16"/>
  </w:num>
  <w:num w:numId="21" w16cid:durableId="1115371329">
    <w:abstractNumId w:val="17"/>
  </w:num>
  <w:num w:numId="22" w16cid:durableId="2122264214">
    <w:abstractNumId w:val="18"/>
  </w:num>
  <w:num w:numId="23" w16cid:durableId="1924604683">
    <w:abstractNumId w:val="19"/>
  </w:num>
  <w:num w:numId="24" w16cid:durableId="676618962">
    <w:abstractNumId w:val="20"/>
  </w:num>
  <w:num w:numId="25" w16cid:durableId="2091416865">
    <w:abstractNumId w:val="21"/>
  </w:num>
  <w:num w:numId="26" w16cid:durableId="758408502">
    <w:abstractNumId w:val="22"/>
  </w:num>
  <w:num w:numId="27" w16cid:durableId="94520937">
    <w:abstractNumId w:val="23"/>
  </w:num>
  <w:num w:numId="28" w16cid:durableId="1695573005">
    <w:abstractNumId w:val="24"/>
  </w:num>
  <w:num w:numId="29" w16cid:durableId="119304006">
    <w:abstractNumId w:val="25"/>
  </w:num>
  <w:num w:numId="30" w16cid:durableId="545800938">
    <w:abstractNumId w:val="26"/>
  </w:num>
  <w:num w:numId="31" w16cid:durableId="1979070147">
    <w:abstractNumId w:val="27"/>
  </w:num>
  <w:num w:numId="32" w16cid:durableId="115107805">
    <w:abstractNumId w:val="28"/>
  </w:num>
  <w:num w:numId="33" w16cid:durableId="779641983">
    <w:abstractNumId w:val="29"/>
  </w:num>
  <w:num w:numId="34" w16cid:durableId="731658864">
    <w:abstractNumId w:val="30"/>
  </w:num>
  <w:num w:numId="35" w16cid:durableId="1274046697">
    <w:abstractNumId w:val="37"/>
  </w:num>
  <w:num w:numId="36" w16cid:durableId="2110732367">
    <w:abstractNumId w:val="31"/>
  </w:num>
  <w:num w:numId="37" w16cid:durableId="1909263231">
    <w:abstractNumId w:val="32"/>
  </w:num>
  <w:num w:numId="38" w16cid:durableId="8929290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1234F8"/>
    <w:rsid w:val="001D7E0D"/>
    <w:rsid w:val="002049F5"/>
    <w:rsid w:val="00204B9D"/>
    <w:rsid w:val="00263F7C"/>
    <w:rsid w:val="002668B3"/>
    <w:rsid w:val="0028061C"/>
    <w:rsid w:val="003214DD"/>
    <w:rsid w:val="00331417"/>
    <w:rsid w:val="003568A1"/>
    <w:rsid w:val="00396A5B"/>
    <w:rsid w:val="003D5418"/>
    <w:rsid w:val="00426315"/>
    <w:rsid w:val="004465CA"/>
    <w:rsid w:val="004472FF"/>
    <w:rsid w:val="004547D5"/>
    <w:rsid w:val="00510FCA"/>
    <w:rsid w:val="00554249"/>
    <w:rsid w:val="005704FD"/>
    <w:rsid w:val="005C4D6E"/>
    <w:rsid w:val="005F28BF"/>
    <w:rsid w:val="005F313C"/>
    <w:rsid w:val="006A1176"/>
    <w:rsid w:val="006A3280"/>
    <w:rsid w:val="006F023D"/>
    <w:rsid w:val="00816D0F"/>
    <w:rsid w:val="00835406"/>
    <w:rsid w:val="00892E27"/>
    <w:rsid w:val="008F085D"/>
    <w:rsid w:val="00977A2C"/>
    <w:rsid w:val="00A00F40"/>
    <w:rsid w:val="00A42C5F"/>
    <w:rsid w:val="00A54892"/>
    <w:rsid w:val="00A920D8"/>
    <w:rsid w:val="00AD7A7C"/>
    <w:rsid w:val="00B23C4E"/>
    <w:rsid w:val="00BD5ACF"/>
    <w:rsid w:val="00BE1F4B"/>
    <w:rsid w:val="00C05363"/>
    <w:rsid w:val="00C06057"/>
    <w:rsid w:val="00C17831"/>
    <w:rsid w:val="00C204EB"/>
    <w:rsid w:val="00C25E43"/>
    <w:rsid w:val="00CC41ED"/>
    <w:rsid w:val="00E45214"/>
    <w:rsid w:val="00ED5C7F"/>
    <w:rsid w:val="00EE3FC9"/>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uk/uksi/2012/1033/made" TargetMode="External"/><Relationship Id="rId26"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11/21/contents"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www.legislation.gov.uk/ukpga/2002/32/section/51A"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legislation.gov.uk/ukpga/2014/6/contents/enacted" TargetMode="Externa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a633f16-bdc4-4f4b-91cc-478cc2898d7b" xsi:nil="true"/>
    <lcf76f155ced4ddcb4097134ff3c332f xmlns="3b012d35-3d90-4303-ba40-873065e9f6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11" ma:contentTypeDescription="Create a new document." ma:contentTypeScope="" ma:versionID="b1b2ed5284c4af21116fcdcc4a83dc78">
  <xsd:schema xmlns:xsd="http://www.w3.org/2001/XMLSchema" xmlns:xs="http://www.w3.org/2001/XMLSchema" xmlns:p="http://schemas.microsoft.com/office/2006/metadata/properties" xmlns:ns2="3b012d35-3d90-4303-ba40-873065e9f6cb" xmlns:ns3="8a633f16-bdc4-4f4b-91cc-478cc2898d7b" targetNamespace="http://schemas.microsoft.com/office/2006/metadata/properties" ma:root="true" ma:fieldsID="bf508381c11a450bdd77675a550752dd" ns2:_="" ns3:_="">
    <xsd:import namespace="3b012d35-3d90-4303-ba40-873065e9f6cb"/>
    <xsd:import namespace="8a633f16-bdc4-4f4b-91cc-478cc2898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33f16-bdc4-4f4b-91cc-478cc2898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a0f134-56ae-4ba8-83fa-06b8bf3c2e13}" ma:internalName="TaxCatchAll" ma:showField="CatchAllData" ma:web="8a633f16-bdc4-4f4b-91cc-478cc289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7375802D-789C-4F47-AB22-B7D1056DD820}">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purl.org/dc/terms/"/>
    <ds:schemaRef ds:uri="3b012d35-3d90-4303-ba40-873065e9f6cb"/>
    <ds:schemaRef ds:uri="http://schemas.openxmlformats.org/package/2006/metadata/core-properties"/>
    <ds:schemaRef ds:uri="8a633f16-bdc4-4f4b-91cc-478cc2898d7b"/>
    <ds:schemaRef ds:uri="http://www.w3.org/XML/1998/namespace"/>
  </ds:schemaRefs>
</ds:datastoreItem>
</file>

<file path=customXml/itemProps3.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4.xml><?xml version="1.0" encoding="utf-8"?>
<ds:datastoreItem xmlns:ds="http://schemas.openxmlformats.org/officeDocument/2006/customXml" ds:itemID="{CC44CB02-6530-4B1A-8365-357F61D7A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8a633f16-bdc4-4f4b-91cc-478cc2898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5650</Words>
  <Characters>32205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Celia Tomlinson</dc:creator>
  <cp:lastModifiedBy>Darryl Holdcroft (Avonside School)</cp:lastModifiedBy>
  <cp:revision>4</cp:revision>
  <dcterms:created xsi:type="dcterms:W3CDTF">2025-01-31T18:35:00Z</dcterms:created>
  <dcterms:modified xsi:type="dcterms:W3CDTF">2025-06-24T12:29:00Z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0x010100445F44D25B058C4B81950D3CA51D09A0</vt:lpwstr>
  </property>
  <property fmtid="{D5CDD505-2E9C-101B-9397-08002B2CF9AE}" pid="6" name="Order">
    <vt:r8>48100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